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bookmarkStart w:id="1" w:name="_GoBack"/>
      <w:bookmarkEnd w:id="1"/>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4"/>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2"/>
        <w:rPr>
          <w:rFonts w:hint="eastAsia" w:ascii="宋体" w:hAnsi="宋体"/>
          <w:b/>
          <w:szCs w:val="21"/>
        </w:rPr>
      </w:pPr>
    </w:p>
    <w:p w14:paraId="1658C76B">
      <w:pPr>
        <w:pStyle w:val="3"/>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u w:val="single"/>
          <w:lang w:val="en-US"/>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eastAsia="zh-CN"/>
        </w:rPr>
        <w:t>宁波市鄞州保安服务有限公司网络应用软件服务项目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lang w:val="en-US" w:eastAsia="zh-CN"/>
              </w:rPr>
              <w:t>宁波市鄞州保安服务有限公司网络应用软件服务项目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8"/>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2544FF4D">
      <w:pPr>
        <w:widowControl/>
        <w:jc w:val="center"/>
        <w:rPr>
          <w:rFonts w:hint="eastAsia" w:ascii="宋体" w:hAnsi="宋体" w:cs="宋体"/>
          <w:b/>
          <w:bCs/>
          <w:color w:val="auto"/>
          <w:sz w:val="24"/>
          <w:highlight w:val="none"/>
        </w:rPr>
      </w:pPr>
    </w:p>
    <w:p w14:paraId="0191F4B7">
      <w:pPr>
        <w:pStyle w:val="2"/>
        <w:rPr>
          <w:rFonts w:hint="eastAsia" w:ascii="宋体" w:hAnsi="宋体" w:cs="宋体"/>
          <w:b/>
          <w:bCs/>
          <w:color w:val="auto"/>
          <w:sz w:val="24"/>
          <w:highlight w:val="none"/>
        </w:rPr>
      </w:pPr>
    </w:p>
    <w:p w14:paraId="2CB46874">
      <w:pPr>
        <w:rPr>
          <w:rFonts w:hint="eastAsia" w:ascii="宋体" w:hAnsi="宋体" w:cs="宋体"/>
          <w:b/>
          <w:bCs/>
          <w:color w:val="auto"/>
          <w:sz w:val="24"/>
          <w:highlight w:val="none"/>
        </w:rPr>
      </w:pPr>
    </w:p>
    <w:p w14:paraId="35B0BB9D">
      <w:pPr>
        <w:pStyle w:val="2"/>
        <w:rPr>
          <w:rFonts w:hint="eastAsia"/>
        </w:rPr>
        <w:sectPr>
          <w:pgSz w:w="11906" w:h="16838"/>
          <w:pgMar w:top="1440" w:right="1800" w:bottom="1440" w:left="1800" w:header="851" w:footer="992" w:gutter="0"/>
          <w:cols w:space="425" w:num="1"/>
          <w:docGrid w:type="lines" w:linePitch="312" w:charSpace="0"/>
        </w:sectPr>
      </w:pPr>
    </w:p>
    <w:p w14:paraId="5D263F27">
      <w:pPr>
        <w:widowControl/>
        <w:jc w:val="both"/>
        <w:rPr>
          <w:rFonts w:hint="eastAsia" w:ascii="宋体" w:hAnsi="宋体" w:cs="宋体"/>
          <w:b/>
          <w:bCs/>
          <w:color w:val="auto"/>
          <w:sz w:val="24"/>
          <w:highlight w:val="none"/>
        </w:r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312CACA6">
      <w:pPr>
        <w:rPr>
          <w:rFonts w:hint="default" w:ascii="Calibri" w:hAnsi="Calibri" w:cs="Calibri"/>
          <w:b w:val="0"/>
          <w:bCs w:val="0"/>
          <w:color w:val="auto"/>
          <w:kern w:val="0"/>
          <w:sz w:val="22"/>
          <w:szCs w:val="22"/>
          <w:u w:val="single"/>
          <w:lang w:val="en-US" w:eastAsia="zh-CN" w:bidi="ar-SA"/>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eastAsia="zh-CN"/>
        </w:rPr>
        <w:t>宁波市鄞州保安服务有限公司网络应用软件服务项目</w:t>
      </w:r>
      <w:r>
        <w:rPr>
          <w:rFonts w:hint="eastAsia"/>
          <w:u w:val="single"/>
          <w:lang w:val="en-US" w:eastAsia="zh-CN"/>
        </w:rPr>
        <w:t xml:space="preserve"> </w:t>
      </w:r>
    </w:p>
    <w:p w14:paraId="423C0B9A">
      <w:pPr>
        <w:rPr>
          <w:lang w:val="zh-CN"/>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4471"/>
        <w:gridCol w:w="723"/>
        <w:gridCol w:w="665"/>
        <w:gridCol w:w="666"/>
        <w:gridCol w:w="665"/>
        <w:gridCol w:w="665"/>
      </w:tblGrid>
      <w:tr w14:paraId="1D4F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9E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08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FE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3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65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FE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F5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12B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0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top"/>
          </w:tcPr>
          <w:p w14:paraId="32638300">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Style w:val="15"/>
                <w:lang w:val="en-US" w:eastAsia="zh-CN" w:bidi="ar"/>
              </w:rPr>
              <w:t>1.技术监测平台</w:t>
            </w:r>
            <w:r>
              <w:rPr>
                <w:rStyle w:val="16"/>
                <w:lang w:val="en-US" w:eastAsia="zh-CN" w:bidi="ar"/>
              </w:rPr>
              <w:br w:type="textWrapping"/>
            </w:r>
            <w:r>
              <w:rPr>
                <w:rStyle w:val="16"/>
                <w:lang w:val="en-US" w:eastAsia="zh-CN" w:bidi="ar"/>
              </w:rPr>
              <w:t xml:space="preserve">    网络安全通报中心所使用的安全监测平台采用租赁云平台的模式。平台应全面满足在安全、稳定、效率、可扩展方面的需求。同时该云平台还需具备多个云监测服务节点，满足日常监测的需求。</w:t>
            </w:r>
            <w:r>
              <w:rPr>
                <w:rStyle w:val="16"/>
                <w:lang w:val="en-US" w:eastAsia="zh-CN" w:bidi="ar"/>
              </w:rPr>
              <w:br w:type="textWrapping"/>
            </w:r>
            <w:r>
              <w:rPr>
                <w:rStyle w:val="16"/>
                <w:lang w:val="en-US" w:eastAsia="zh-CN" w:bidi="ar"/>
              </w:rPr>
              <w:t xml:space="preserve">    该平台应符合信息安全技术网络安全等级保护第三级的安全要求。平台软硬件需要通过中国信息安全测评中心、国家保密科技测评中心的安全可靠测评，产品主要参考的目录如下：《安全可靠测评结果公告（2023年第1号）》《安全可靠测评结果公告（2024年第1号）》《安全可靠测评结果公告（2024年第2号）》《安全可靠测评结果公告（2025年第1号）》等相关公告内容。平台应可开设多个帐号，支持网络资产清单的上传，同时提供报表下载。</w:t>
            </w:r>
            <w:r>
              <w:rPr>
                <w:rStyle w:val="16"/>
                <w:lang w:val="en-US" w:eastAsia="zh-CN" w:bidi="ar"/>
              </w:rPr>
              <w:br w:type="textWrapping"/>
            </w:r>
            <w:r>
              <w:rPr>
                <w:rStyle w:val="15"/>
                <w:lang w:val="en-US" w:eastAsia="zh-CN" w:bidi="ar"/>
              </w:rPr>
              <w:t>2.安全检测与监测服务</w:t>
            </w:r>
            <w:r>
              <w:rPr>
                <w:rStyle w:val="16"/>
                <w:lang w:val="en-US" w:eastAsia="zh-CN" w:bidi="ar"/>
              </w:rPr>
              <w:br w:type="textWrapping"/>
            </w:r>
            <w:r>
              <w:rPr>
                <w:rStyle w:val="16"/>
                <w:lang w:val="en-US" w:eastAsia="zh-CN" w:bidi="ar"/>
              </w:rPr>
              <w:t xml:space="preserve">   监测平台主要用于我区各信息系统漏洞隐患的检测，安全事件及内容、运行状态可用性等情况的监测，如有特别需求应当可追加，现阶段应当具备以下需求：</w:t>
            </w:r>
            <w:r>
              <w:rPr>
                <w:rStyle w:val="16"/>
                <w:lang w:val="en-US" w:eastAsia="zh-CN" w:bidi="ar"/>
              </w:rPr>
              <w:br w:type="textWrapping"/>
            </w:r>
            <w:r>
              <w:rPr>
                <w:rStyle w:val="15"/>
                <w:lang w:val="en-US" w:eastAsia="zh-CN" w:bidi="ar"/>
              </w:rPr>
              <w:t>2.1提供安全漏洞检测</w:t>
            </w:r>
            <w:r>
              <w:rPr>
                <w:rStyle w:val="16"/>
                <w:lang w:val="en-US" w:eastAsia="zh-CN" w:bidi="ar"/>
              </w:rPr>
              <w:br w:type="textWrapping"/>
            </w:r>
            <w:r>
              <w:rPr>
                <w:rStyle w:val="16"/>
                <w:lang w:val="en-US" w:eastAsia="zh-CN" w:bidi="ar"/>
              </w:rPr>
              <w:t xml:space="preserve">    平台通过大数据漏洞扫描技术，定期对目标系统进行全面的安全漏洞扫描，发现系统存在的各类安全隐患，并持续跟踪漏洞修复情况。</w:t>
            </w:r>
            <w:r>
              <w:rPr>
                <w:rStyle w:val="16"/>
                <w:lang w:val="en-US" w:eastAsia="zh-CN" w:bidi="ar"/>
              </w:rPr>
              <w:br w:type="textWrapping"/>
            </w:r>
            <w:r>
              <w:rPr>
                <w:rStyle w:val="16"/>
                <w:lang w:val="en-US" w:eastAsia="zh-CN" w:bidi="ar"/>
              </w:rPr>
              <w:t xml:space="preserve">    平台采用强大的过滤模块，过滤掉重复或者不必要的链接，提高运行效率。单引擎单位时间的发包速率的可控化，可以有效防止扫描数据量过大影响信息系统正常运行的问题。扫描数据实时存储，扫描过程中实时存储扫描数据和结果，不管是由于程序自身引擎中断、进程人为关闭，还是机器断电引起扫描中断，扫描数据都不会丢失，可以进行断点续描。扫描引擎与扫描界面分离，一个正在运行的主程序可以同时管理多个引擎。每个引擎可支持多个任务的真正并发扫描，有效提高系统深度扫描速率。</w:t>
            </w:r>
            <w:r>
              <w:rPr>
                <w:rStyle w:val="16"/>
                <w:lang w:val="en-US" w:eastAsia="zh-CN" w:bidi="ar"/>
              </w:rPr>
              <w:br w:type="textWrapping"/>
            </w:r>
            <w:r>
              <w:rPr>
                <w:rStyle w:val="16"/>
                <w:lang w:val="en-US" w:eastAsia="zh-CN" w:bidi="ar"/>
              </w:rPr>
              <w:t xml:space="preserve">    同时为扫描任务提供非常丰富的扫描选项，如爬行、检测、过滤、网络环境等，用户可根据目标扫描信息系统的特点以及所在的网络环境，对扫描过程进行定制。</w:t>
            </w:r>
            <w:r>
              <w:rPr>
                <w:rStyle w:val="16"/>
                <w:lang w:val="en-US" w:eastAsia="zh-CN" w:bidi="ar"/>
              </w:rPr>
              <w:br w:type="textWrapping"/>
            </w:r>
            <w:r>
              <w:rPr>
                <w:rStyle w:val="15"/>
                <w:lang w:val="en-US" w:eastAsia="zh-CN" w:bidi="ar"/>
              </w:rPr>
              <w:t>2.2提供安全事件及内容监测</w:t>
            </w:r>
            <w:r>
              <w:rPr>
                <w:rStyle w:val="16"/>
                <w:lang w:val="en-US" w:eastAsia="zh-CN" w:bidi="ar"/>
              </w:rPr>
              <w:br w:type="textWrapping"/>
            </w:r>
            <w:r>
              <w:rPr>
                <w:rStyle w:val="16"/>
                <w:lang w:val="en-US" w:eastAsia="zh-CN" w:bidi="ar"/>
              </w:rPr>
              <w:t xml:space="preserve">    平台对信息系统进行页面资源与指纹信息的分析，通过监测技术对各类安全事件进行全面分析感知，包括篡改、暗链、黑页、挂马、后门等，并进行定向安全通报。监测引擎基于机器学习算法，结合风暴中心数据大脑威胁情报赋能，能够实现检测数据的自动标签化，大大提高了新型暗链的识别率。同时，结合数据大脑威胁情报，对接入监测的信息系统域名和服务器IP进行碰撞，发现挖矿、僵尸网络等失陷主机，有效弥补远程透明监测短板问题。威胁情报数据极大丰富和扩展了黑名单库，实现检测范围和监测深度的大幅提升。</w:t>
            </w:r>
            <w:r>
              <w:rPr>
                <w:rStyle w:val="16"/>
                <w:lang w:val="en-US" w:eastAsia="zh-CN" w:bidi="ar"/>
              </w:rPr>
              <w:br w:type="textWrapping"/>
            </w:r>
            <w:r>
              <w:rPr>
                <w:rStyle w:val="16"/>
                <w:lang w:val="en-US" w:eastAsia="zh-CN" w:bidi="ar"/>
              </w:rPr>
              <w:t xml:space="preserve">   具体包含内容如下：暗链、黑页监测；篡改监测；敏感词监测；外链监测；错链、坏链监测；挂马监测；后门监测；失陷监测。</w:t>
            </w:r>
            <w:r>
              <w:rPr>
                <w:rStyle w:val="16"/>
                <w:lang w:val="en-US" w:eastAsia="zh-CN" w:bidi="ar"/>
              </w:rPr>
              <w:br w:type="textWrapping"/>
            </w:r>
            <w:r>
              <w:rPr>
                <w:rStyle w:val="15"/>
                <w:lang w:val="en-US" w:eastAsia="zh-CN" w:bidi="ar"/>
              </w:rPr>
              <w:t>2.3提供信息系统可用性监测服务</w:t>
            </w:r>
            <w:r>
              <w:rPr>
                <w:rStyle w:val="16"/>
                <w:lang w:val="en-US" w:eastAsia="zh-CN" w:bidi="ar"/>
              </w:rPr>
              <w:br w:type="textWrapping"/>
            </w:r>
            <w:r>
              <w:rPr>
                <w:rStyle w:val="16"/>
                <w:lang w:val="en-US" w:eastAsia="zh-CN" w:bidi="ar"/>
              </w:rPr>
              <w:t xml:space="preserve">    对于实时性要求比较高的重点信息系统，采用分布式节点进行数据监测，以多链路多点监测形式，发现在不同区域内信息系统的多线路访问可用性情况。网站服务质量实时监测提供目标站点的域名解析可用性、网站服务可用性、以及网站内容可用性监测，能够较为全面的实时了解网站可用性状况。可用性监测分为以下三类内容：域名解析可用性、网站服务可用性、网站内容可用性。</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元/年</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6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2575">
            <w:pPr>
              <w:jc w:val="center"/>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F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2139">
            <w:pPr>
              <w:jc w:val="center"/>
              <w:rPr>
                <w:rFonts w:hint="eastAsia" w:ascii="宋体" w:hAnsi="宋体" w:eastAsia="宋体" w:cs="宋体"/>
                <w:i w:val="0"/>
                <w:iCs w:val="0"/>
                <w:color w:val="000000"/>
                <w:sz w:val="22"/>
                <w:szCs w:val="22"/>
                <w:u w:val="none"/>
              </w:rPr>
            </w:pPr>
          </w:p>
        </w:tc>
      </w:tr>
      <w:tr w14:paraId="0946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21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13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41F4">
            <w:pPr>
              <w:jc w:val="center"/>
              <w:rPr>
                <w:rFonts w:hint="eastAsia" w:ascii="宋体" w:hAnsi="宋体" w:eastAsia="宋体" w:cs="宋体"/>
                <w:b/>
                <w:bCs/>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A267">
            <w:pPr>
              <w:jc w:val="center"/>
              <w:rPr>
                <w:rFonts w:hint="eastAsia" w:ascii="宋体" w:hAnsi="宋体" w:eastAsia="宋体" w:cs="宋体"/>
                <w:b/>
                <w:bCs/>
                <w:i w:val="0"/>
                <w:iCs w:val="0"/>
                <w:color w:val="000000"/>
                <w:sz w:val="22"/>
                <w:szCs w:val="22"/>
                <w:u w:val="none"/>
              </w:rPr>
            </w:pPr>
          </w:p>
        </w:tc>
      </w:tr>
    </w:tbl>
    <w:p w14:paraId="27A92045">
      <w:pPr>
        <w:pStyle w:val="8"/>
        <w:ind w:left="0" w:leftChars="0" w:firstLine="0" w:firstLineChars="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8"/>
        <w:sectPr>
          <w:pgSz w:w="11906" w:h="16838"/>
          <w:pgMar w:top="1440" w:right="1800" w:bottom="1440" w:left="1800" w:header="851" w:footer="992" w:gutter="0"/>
          <w:cols w:space="425" w:num="1"/>
          <w:docGrid w:type="lines" w:linePitch="312" w:charSpace="0"/>
        </w:sectPr>
      </w:pPr>
    </w:p>
    <w:p w14:paraId="1D261A8B">
      <w:pPr>
        <w:pStyle w:val="3"/>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0BA76F77">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3"/>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4130446"/>
    <w:rsid w:val="05924CEE"/>
    <w:rsid w:val="065456B9"/>
    <w:rsid w:val="0757783A"/>
    <w:rsid w:val="07A66462"/>
    <w:rsid w:val="09902C62"/>
    <w:rsid w:val="0DCB2B73"/>
    <w:rsid w:val="1089491E"/>
    <w:rsid w:val="10BB33AB"/>
    <w:rsid w:val="12745F08"/>
    <w:rsid w:val="12864A91"/>
    <w:rsid w:val="18814EDA"/>
    <w:rsid w:val="19B810FB"/>
    <w:rsid w:val="1C7900CC"/>
    <w:rsid w:val="1F29779B"/>
    <w:rsid w:val="1F3F55A4"/>
    <w:rsid w:val="1F5F387B"/>
    <w:rsid w:val="2328182A"/>
    <w:rsid w:val="26084963"/>
    <w:rsid w:val="26F13DEB"/>
    <w:rsid w:val="29B8040D"/>
    <w:rsid w:val="2F0D4FBB"/>
    <w:rsid w:val="33060F3B"/>
    <w:rsid w:val="35826304"/>
    <w:rsid w:val="384906DF"/>
    <w:rsid w:val="394D3DC6"/>
    <w:rsid w:val="46A833C0"/>
    <w:rsid w:val="474D09B4"/>
    <w:rsid w:val="48767B73"/>
    <w:rsid w:val="49954A09"/>
    <w:rsid w:val="4B200D9F"/>
    <w:rsid w:val="4F881965"/>
    <w:rsid w:val="4F9E5990"/>
    <w:rsid w:val="505C6A39"/>
    <w:rsid w:val="555566F6"/>
    <w:rsid w:val="5FB90077"/>
    <w:rsid w:val="665E1184"/>
    <w:rsid w:val="674541B3"/>
    <w:rsid w:val="6E667577"/>
    <w:rsid w:val="72B029C4"/>
    <w:rsid w:val="766B71BD"/>
    <w:rsid w:val="771238C5"/>
    <w:rsid w:val="7AA3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3">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kern w:val="2"/>
      <w:sz w:val="21"/>
      <w:szCs w:val="24"/>
    </w:rPr>
  </w:style>
  <w:style w:type="paragraph" w:styleId="4">
    <w:name w:val="Body Text Indent"/>
    <w:basedOn w:val="1"/>
    <w:qFormat/>
    <w:uiPriority w:val="0"/>
    <w:pPr>
      <w:spacing w:line="380" w:lineRule="exact"/>
      <w:ind w:firstLine="480"/>
    </w:pPr>
    <w:rPr>
      <w:rFonts w:eastAsia="方正书宋简体"/>
      <w:sz w:val="24"/>
    </w:rPr>
  </w:style>
  <w:style w:type="paragraph" w:styleId="5">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6">
    <w:name w:val="Normal (Web)"/>
    <w:basedOn w:val="1"/>
    <w:qFormat/>
    <w:uiPriority w:val="0"/>
    <w:pPr>
      <w:widowControl/>
      <w:jc w:val="left"/>
    </w:pPr>
    <w:rPr>
      <w:rFonts w:ascii="宋体" w:hAnsi="宋体" w:cs="宋体"/>
      <w:color w:val="000000"/>
      <w:kern w:val="0"/>
      <w:sz w:val="24"/>
    </w:rPr>
  </w:style>
  <w:style w:type="paragraph" w:styleId="7">
    <w:name w:val="Title"/>
    <w:basedOn w:val="1"/>
    <w:next w:val="1"/>
    <w:qFormat/>
    <w:uiPriority w:val="0"/>
    <w:pPr>
      <w:spacing w:before="240" w:beforeLines="0" w:after="60" w:afterLines="0"/>
      <w:jc w:val="center"/>
      <w:outlineLvl w:val="0"/>
    </w:pPr>
    <w:rPr>
      <w:rFonts w:ascii="Cambria" w:hAnsi="Cambria"/>
      <w:b/>
      <w:bCs/>
      <w:kern w:val="2"/>
      <w:sz w:val="32"/>
      <w:szCs w:val="32"/>
    </w:rPr>
  </w:style>
  <w:style w:type="paragraph" w:styleId="8">
    <w:name w:val="Body Text First Indent"/>
    <w:basedOn w:val="2"/>
    <w:next w:val="1"/>
    <w:qFormat/>
    <w:uiPriority w:val="0"/>
    <w:pPr>
      <w:spacing w:line="360" w:lineRule="auto"/>
      <w:ind w:firstLine="200" w:firstLineChars="200"/>
      <w:jc w:val="left"/>
    </w:pPr>
    <w:rPr>
      <w:b/>
      <w:bCs/>
      <w:sz w:val="24"/>
      <w:lang w:val="en-GB"/>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31"/>
    <w:basedOn w:val="10"/>
    <w:qFormat/>
    <w:uiPriority w:val="0"/>
    <w:rPr>
      <w:rFonts w:hint="eastAsia" w:ascii="宋体" w:hAnsi="宋体" w:eastAsia="宋体" w:cs="宋体"/>
      <w:b/>
      <w:bCs/>
      <w:color w:val="000000"/>
      <w:sz w:val="20"/>
      <w:szCs w:val="20"/>
      <w:u w:val="none"/>
    </w:rPr>
  </w:style>
  <w:style w:type="character" w:customStyle="1" w:styleId="16">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2995</Words>
  <Characters>3190</Characters>
  <Lines>0</Lines>
  <Paragraphs>0</Paragraphs>
  <TotalTime>15</TotalTime>
  <ScaleCrop>false</ScaleCrop>
  <LinksUpToDate>false</LinksUpToDate>
  <CharactersWithSpaces>3444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黑色</cp:lastModifiedBy>
  <cp:lastPrinted>2024-05-14T07:46:00Z</cp:lastPrinted>
  <dcterms:modified xsi:type="dcterms:W3CDTF">2025-10-17T08:09:12Z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DE13D2656CD24298A3AC9710F61E2010_11</vt:lpwstr>
  </property>
  <property fmtid="{D5CDD505-2E9C-101B-9397-08002B2CF9AE}" pid="4" name="KSOTemplateDocerSaveRecord">
    <vt:lpwstr>eyJoZGlkIjoiZDgxZDhkMDc5MDYyNGJlN2VhYWUwOGRhNjU4NTNiMjIiLCJ1c2VySWQiOiIxMTM4NjgxMjc1In0=</vt:lpwstr>
  </property>
</Properties>
</file>